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ook w:val="00A0"/>
      </w:tblPr>
      <w:tblGrid>
        <w:gridCol w:w="4132"/>
        <w:gridCol w:w="1448"/>
        <w:gridCol w:w="4140"/>
      </w:tblGrid>
      <w:tr w:rsidR="006B4DF8" w:rsidTr="005E4632">
        <w:trPr>
          <w:trHeight w:val="1085"/>
        </w:trPr>
        <w:tc>
          <w:tcPr>
            <w:tcW w:w="4132" w:type="dxa"/>
          </w:tcPr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БАШКОРТОСТАН    РЕСПУБЛИКАҺЫ</w:t>
            </w:r>
          </w:p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 РАЙОНЫ </w:t>
            </w:r>
          </w:p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РАЙОНЫНЫН</w:t>
            </w:r>
          </w:p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САЛАУАТ  АУЫЛ  СОВЕТЫ</w:t>
            </w:r>
          </w:p>
          <w:p w:rsidR="006B4DF8" w:rsidRDefault="006B4DF8" w:rsidP="005E4632">
            <w:pPr>
              <w:jc w:val="center"/>
              <w:rPr>
                <w:rFonts w:ascii="a_Helver(10%) Bashkir" w:hAnsi="a_Helver(10%) Bashkir" w:cs="a_Helver(10%) Bashkir"/>
                <w:b/>
                <w:bCs/>
              </w:rPr>
            </w:pPr>
            <w:r>
              <w:rPr>
                <w:sz w:val="22"/>
                <w:szCs w:val="22"/>
                <w:lang w:val="be-BY"/>
              </w:rPr>
              <w:t>АУЫЛ  БИЛЭМЭ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Е СОВЕТЫ</w:t>
            </w:r>
          </w:p>
        </w:tc>
        <w:tc>
          <w:tcPr>
            <w:tcW w:w="1448" w:type="dxa"/>
            <w:vMerge w:val="restart"/>
          </w:tcPr>
          <w:p w:rsidR="006B4DF8" w:rsidRDefault="006B4DF8" w:rsidP="005E46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6B4DF8" w:rsidRDefault="006B4DF8" w:rsidP="005E4632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6B4DF8" w:rsidRDefault="006B4DF8" w:rsidP="005E4632">
            <w:pPr>
              <w:jc w:val="center"/>
            </w:pPr>
            <w:r>
              <w:rPr>
                <w:sz w:val="22"/>
                <w:szCs w:val="22"/>
              </w:rPr>
              <w:t>СОВЕТ СЕЛЬСКОГО ПОСЕЛЕНИЯ</w:t>
            </w:r>
          </w:p>
          <w:p w:rsidR="006B4DF8" w:rsidRDefault="006B4DF8" w:rsidP="005E46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  <w:szCs w:val="22"/>
              </w:rPr>
              <w:t>САЛАВАТСКИЙ СЕЛЬСОВЕТ                    МУНИЦИПАЛЬНОГО РАЙОНА САЛАВАТСКИЙ РАЙОН</w:t>
            </w:r>
          </w:p>
        </w:tc>
      </w:tr>
      <w:tr w:rsidR="006B4DF8" w:rsidTr="005E4632">
        <w:tc>
          <w:tcPr>
            <w:tcW w:w="4132" w:type="dxa"/>
          </w:tcPr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452490, Малая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ҙ</w:t>
            </w:r>
            <w:r>
              <w:rPr>
                <w:sz w:val="22"/>
                <w:szCs w:val="22"/>
                <w:lang w:val="be-BY"/>
              </w:rPr>
              <w:t xml:space="preserve"> ауылы, </w:t>
            </w:r>
          </w:p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СССР-зын 60 йыллыгы урамы, 5 </w:t>
            </w:r>
          </w:p>
          <w:p w:rsidR="006B4DF8" w:rsidRDefault="006B4DF8" w:rsidP="005E463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(34777) 2-03-58, 2-13-42</w:t>
            </w:r>
          </w:p>
        </w:tc>
        <w:tc>
          <w:tcPr>
            <w:tcW w:w="0" w:type="auto"/>
            <w:vMerge/>
            <w:vAlign w:val="center"/>
          </w:tcPr>
          <w:p w:rsidR="006B4DF8" w:rsidRDefault="006B4DF8" w:rsidP="005E4632"/>
        </w:tc>
        <w:tc>
          <w:tcPr>
            <w:tcW w:w="4140" w:type="dxa"/>
          </w:tcPr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452490, с.Малояз, </w:t>
            </w:r>
          </w:p>
          <w:p w:rsidR="006B4DF8" w:rsidRDefault="006B4DF8" w:rsidP="005E4632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ул. 60 лет СССР, 5 </w:t>
            </w:r>
          </w:p>
          <w:p w:rsidR="006B4DF8" w:rsidRDefault="006B4DF8" w:rsidP="005E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  <w:lang w:val="be-BY"/>
              </w:rPr>
              <w:t>тел. (34777) 2-03-58, 2-13-42</w:t>
            </w:r>
          </w:p>
        </w:tc>
      </w:tr>
    </w:tbl>
    <w:p w:rsidR="006B4DF8" w:rsidRPr="001712D6" w:rsidRDefault="004B1B16" w:rsidP="006B4DF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z-index:251660288;visibility:visible;mso-position-horizontal-relative:text;mso-position-vertical-relative:text" from="-27pt,11.55pt" to="477pt,11.55pt" strokeweight="4.5pt">
            <v:stroke linestyle="thickThin"/>
            <w10:wrap type="square"/>
          </v:line>
        </w:pict>
      </w:r>
    </w:p>
    <w:p w:rsidR="006B4DF8" w:rsidRDefault="001712D6" w:rsidP="006B4DF8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второе за</w:t>
      </w:r>
      <w:r w:rsidR="006B4DF8">
        <w:rPr>
          <w:sz w:val="28"/>
          <w:szCs w:val="28"/>
        </w:rPr>
        <w:t>седание  двадцать седьмого созыва</w:t>
      </w:r>
    </w:p>
    <w:p w:rsidR="006B4DF8" w:rsidRDefault="006B4DF8" w:rsidP="006B4DF8">
      <w:pPr>
        <w:pStyle w:val="3"/>
        <w:spacing w:after="0"/>
        <w:ind w:left="0"/>
        <w:jc w:val="center"/>
        <w:rPr>
          <w:sz w:val="28"/>
          <w:szCs w:val="28"/>
        </w:rPr>
      </w:pPr>
    </w:p>
    <w:p w:rsidR="006B4DF8" w:rsidRDefault="006B4DF8" w:rsidP="006B4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97358" w:rsidRDefault="001712D6" w:rsidP="006B4DF8">
      <w:pPr>
        <w:jc w:val="center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6B4DF8">
        <w:rPr>
          <w:sz w:val="28"/>
          <w:szCs w:val="28"/>
        </w:rPr>
        <w:t xml:space="preserve"> </w:t>
      </w:r>
      <w:r w:rsidR="006B4DF8" w:rsidRPr="0081540E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 № 143</w:t>
      </w:r>
    </w:p>
    <w:p w:rsidR="009C2462" w:rsidRPr="002C302E" w:rsidRDefault="009C2462" w:rsidP="009C2462">
      <w:pPr>
        <w:rPr>
          <w:sz w:val="28"/>
          <w:szCs w:val="28"/>
        </w:rPr>
      </w:pPr>
    </w:p>
    <w:p w:rsidR="009C2462" w:rsidRPr="002C302E" w:rsidRDefault="009C2462" w:rsidP="009C2462">
      <w:pPr>
        <w:pStyle w:val="ac"/>
        <w:tabs>
          <w:tab w:val="left" w:pos="9540"/>
          <w:tab w:val="left" w:pos="9637"/>
        </w:tabs>
        <w:spacing w:after="0"/>
        <w:ind w:right="-2"/>
        <w:jc w:val="center"/>
        <w:rPr>
          <w:sz w:val="28"/>
          <w:szCs w:val="28"/>
        </w:rPr>
      </w:pPr>
      <w:r w:rsidRPr="002C302E">
        <w:rPr>
          <w:sz w:val="28"/>
          <w:szCs w:val="28"/>
        </w:rPr>
        <w:t>О внесении изменений и дополнений в Устав</w:t>
      </w:r>
      <w:r w:rsidR="00971EEB">
        <w:rPr>
          <w:sz w:val="28"/>
          <w:szCs w:val="28"/>
        </w:rPr>
        <w:t xml:space="preserve"> сельского поселения Салаватский</w:t>
      </w:r>
      <w:r>
        <w:rPr>
          <w:sz w:val="28"/>
          <w:szCs w:val="28"/>
        </w:rPr>
        <w:t xml:space="preserve"> сельсовет </w:t>
      </w:r>
      <w:r w:rsidRPr="002C302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2C302E">
        <w:rPr>
          <w:sz w:val="28"/>
          <w:szCs w:val="28"/>
        </w:rPr>
        <w:t>Салаватский район Республики Башкортостан</w:t>
      </w:r>
    </w:p>
    <w:p w:rsidR="009C2462" w:rsidRPr="004012A2" w:rsidRDefault="009C2462" w:rsidP="001712D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C2462" w:rsidRPr="004012A2" w:rsidRDefault="00D4456B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Салаватский сельсовет муниципального района Салаватский  </w:t>
      </w:r>
      <w:r w:rsidR="009C2462"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9C2462" w:rsidRPr="004012A2" w:rsidRDefault="009C2462" w:rsidP="009C24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D4456B">
        <w:rPr>
          <w:rFonts w:ascii="Times New Roman" w:hAnsi="Times New Roman" w:cs="Times New Roman"/>
          <w:sz w:val="28"/>
          <w:szCs w:val="28"/>
        </w:rPr>
        <w:t xml:space="preserve">Салаватский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4456B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9C2462" w:rsidRPr="00D21C05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9C2462" w:rsidRPr="00B01D37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2462" w:rsidRPr="00456425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1712D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462" w:rsidRPr="00102B9F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9C2462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9C2462" w:rsidRPr="00102B9F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C2462" w:rsidRPr="00CC532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C2462" w:rsidRDefault="009C2462" w:rsidP="009C2462">
      <w:pPr>
        <w:pStyle w:val="ac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Башкортостан.»;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C2462" w:rsidRPr="00646B49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C2462" w:rsidRPr="00F45A9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9C2462" w:rsidRPr="008C115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9C2462" w:rsidRPr="008C1151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462" w:rsidRPr="00110380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9C2462" w:rsidRPr="00360820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9C2462" w:rsidRDefault="009C2462" w:rsidP="009C246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 xml:space="preserve">главы Сельского поселения </w:t>
      </w:r>
      <w:r w:rsidRPr="00360820">
        <w:rPr>
          <w:sz w:val="28"/>
          <w:szCs w:val="28"/>
        </w:rPr>
        <w:t>осуществляется на первом заседании вновь избранного Совета.»;</w:t>
      </w:r>
    </w:p>
    <w:p w:rsidR="009C2462" w:rsidRDefault="009C2462" w:rsidP="009C2462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462" w:rsidRPr="00360820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9C2462" w:rsidRDefault="009C2462" w:rsidP="009C246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9C2462" w:rsidRDefault="009C2462" w:rsidP="009C24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9C2462" w:rsidRPr="009F14E5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9C2462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9C2462" w:rsidRPr="0074420D" w:rsidRDefault="009C2462" w:rsidP="009C2462">
      <w:pPr>
        <w:pStyle w:val="ac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9C2462" w:rsidRPr="0074420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9C2462" w:rsidRPr="0074420D" w:rsidRDefault="009C2462" w:rsidP="009C24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C2462" w:rsidRPr="0074420D" w:rsidRDefault="009C2462" w:rsidP="009C2462">
      <w:pPr>
        <w:pStyle w:val="ac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lastRenderedPageBreak/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9C2462" w:rsidRPr="0074420D" w:rsidRDefault="009C2462" w:rsidP="009C2462">
      <w:pPr>
        <w:pStyle w:val="ac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9C2462" w:rsidRDefault="009C2462" w:rsidP="009C2462">
      <w:pPr>
        <w:pStyle w:val="ac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sz w:val="28"/>
          <w:szCs w:val="28"/>
        </w:rPr>
        <w:t>»;</w:t>
      </w:r>
    </w:p>
    <w:p w:rsidR="009C2462" w:rsidRPr="00360820" w:rsidRDefault="009C2462" w:rsidP="009C2462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9C2462" w:rsidRPr="001712D6" w:rsidRDefault="009C2462" w:rsidP="009C2462">
      <w:pPr>
        <w:ind w:firstLine="709"/>
        <w:rPr>
          <w:sz w:val="20"/>
          <w:szCs w:val="20"/>
        </w:rPr>
      </w:pPr>
    </w:p>
    <w:p w:rsidR="009C2462" w:rsidRPr="00360820" w:rsidRDefault="009C2462" w:rsidP="009C2462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9C2462" w:rsidRPr="00360820" w:rsidRDefault="009C2462" w:rsidP="009C2462">
      <w:pPr>
        <w:ind w:firstLine="709"/>
        <w:rPr>
          <w:sz w:val="28"/>
          <w:szCs w:val="28"/>
        </w:rPr>
      </w:pPr>
    </w:p>
    <w:p w:rsidR="009C2462" w:rsidRDefault="009C2462" w:rsidP="009C246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9C2462" w:rsidRPr="00AF442E" w:rsidRDefault="009C2462" w:rsidP="009C2462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9C2462" w:rsidRPr="000418B9" w:rsidRDefault="009C2462" w:rsidP="009C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8B9">
        <w:rPr>
          <w:sz w:val="28"/>
          <w:szCs w:val="28"/>
        </w:rPr>
        <w:t xml:space="preserve">2. </w:t>
      </w:r>
      <w:hyperlink r:id="rId14" w:history="1">
        <w:r w:rsidRPr="000418B9">
          <w:rPr>
            <w:sz w:val="28"/>
            <w:szCs w:val="28"/>
          </w:rPr>
          <w:t>Пункт 1.1.</w:t>
        </w:r>
      </w:hyperlink>
      <w:r w:rsidRPr="000418B9">
        <w:rPr>
          <w:sz w:val="28"/>
          <w:szCs w:val="28"/>
        </w:rPr>
        <w:t>2 настоящего решения вступает в силу с 1 января 2019 года.</w:t>
      </w:r>
    </w:p>
    <w:p w:rsidR="009C2462" w:rsidRPr="00E60F60" w:rsidRDefault="009C2462" w:rsidP="009C246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0418B9">
        <w:rPr>
          <w:sz w:val="28"/>
          <w:szCs w:val="28"/>
        </w:rPr>
        <w:t xml:space="preserve">3. </w:t>
      </w:r>
      <w:r w:rsidRPr="000418B9">
        <w:rPr>
          <w:iCs/>
          <w:sz w:val="28"/>
          <w:szCs w:val="28"/>
        </w:rPr>
        <w:t xml:space="preserve">Настоящее решение </w:t>
      </w:r>
      <w:r w:rsidRPr="000418B9">
        <w:rPr>
          <w:sz w:val="28"/>
          <w:szCs w:val="28"/>
        </w:rPr>
        <w:t>обнародовать</w:t>
      </w:r>
      <w:r w:rsidRPr="000418B9">
        <w:rPr>
          <w:iCs/>
          <w:sz w:val="28"/>
          <w:szCs w:val="28"/>
        </w:rPr>
        <w:t xml:space="preserve"> на </w:t>
      </w:r>
      <w:r w:rsidRPr="000418B9">
        <w:rPr>
          <w:sz w:val="28"/>
          <w:szCs w:val="28"/>
        </w:rPr>
        <w:t xml:space="preserve">информационном стенде Совета </w:t>
      </w:r>
      <w:r w:rsidR="001C2F83" w:rsidRPr="001C2F83">
        <w:rPr>
          <w:color w:val="FF0000"/>
          <w:sz w:val="28"/>
          <w:szCs w:val="28"/>
        </w:rPr>
        <w:t>в здании Администрации</w:t>
      </w:r>
      <w:r w:rsidR="001C2F83">
        <w:rPr>
          <w:sz w:val="28"/>
          <w:szCs w:val="28"/>
        </w:rPr>
        <w:t xml:space="preserve"> </w:t>
      </w:r>
      <w:r w:rsidRPr="000418B9">
        <w:rPr>
          <w:sz w:val="28"/>
          <w:szCs w:val="28"/>
        </w:rPr>
        <w:t>сельского</w:t>
      </w:r>
      <w:r w:rsidRPr="00E539DE">
        <w:rPr>
          <w:sz w:val="28"/>
          <w:szCs w:val="28"/>
        </w:rPr>
        <w:t xml:space="preserve"> поселения </w:t>
      </w:r>
      <w:r w:rsidR="00E539DE" w:rsidRPr="00E539DE">
        <w:rPr>
          <w:sz w:val="28"/>
          <w:szCs w:val="28"/>
        </w:rPr>
        <w:t xml:space="preserve">Салаватский сельсовет </w:t>
      </w:r>
      <w:r w:rsidRPr="00E539DE">
        <w:rPr>
          <w:sz w:val="28"/>
          <w:szCs w:val="28"/>
        </w:rPr>
        <w:t>муниципального района Салаватский район Республики Башкортостан по адресу: Республика Башко</w:t>
      </w:r>
      <w:r w:rsidR="00E539DE" w:rsidRPr="00E539DE">
        <w:rPr>
          <w:sz w:val="28"/>
          <w:szCs w:val="28"/>
        </w:rPr>
        <w:t>ртостан, Салаватский  район, с. Малояз</w:t>
      </w:r>
      <w:r w:rsidRPr="00E539DE">
        <w:rPr>
          <w:sz w:val="28"/>
          <w:szCs w:val="28"/>
        </w:rPr>
        <w:t>, ул.</w:t>
      </w:r>
      <w:r w:rsidR="00E539DE" w:rsidRPr="00E539DE">
        <w:rPr>
          <w:sz w:val="28"/>
          <w:szCs w:val="28"/>
        </w:rPr>
        <w:t xml:space="preserve"> 60 лет СССР, </w:t>
      </w:r>
      <w:r w:rsidRPr="00E539DE">
        <w:rPr>
          <w:sz w:val="28"/>
          <w:szCs w:val="28"/>
        </w:rPr>
        <w:t xml:space="preserve"> д. </w:t>
      </w:r>
      <w:r w:rsidR="00E539DE" w:rsidRPr="00E539DE">
        <w:rPr>
          <w:sz w:val="28"/>
          <w:szCs w:val="28"/>
        </w:rPr>
        <w:t>5</w:t>
      </w:r>
      <w:r w:rsidRPr="00E539DE">
        <w:rPr>
          <w:sz w:val="28"/>
          <w:szCs w:val="28"/>
        </w:rPr>
        <w:t xml:space="preserve"> после его государственной регистрации и разместить на информационном сайте по адресу: </w:t>
      </w:r>
      <w:r w:rsidR="00E539DE" w:rsidRPr="00E539DE">
        <w:rPr>
          <w:sz w:val="28"/>
          <w:szCs w:val="28"/>
          <w:lang w:val="en-US"/>
        </w:rPr>
        <w:t>www</w:t>
      </w:r>
      <w:r w:rsidR="00E539DE" w:rsidRPr="00E539DE">
        <w:rPr>
          <w:sz w:val="28"/>
          <w:szCs w:val="28"/>
        </w:rPr>
        <w:t>.мало</w:t>
      </w:r>
      <w:r w:rsidR="009B5DF1">
        <w:rPr>
          <w:sz w:val="28"/>
          <w:szCs w:val="28"/>
        </w:rPr>
        <w:t>я</w:t>
      </w:r>
      <w:r w:rsidR="00E539DE" w:rsidRPr="00E539DE">
        <w:rPr>
          <w:sz w:val="28"/>
          <w:szCs w:val="28"/>
        </w:rPr>
        <w:t>з.рф</w:t>
      </w:r>
    </w:p>
    <w:p w:rsidR="00226147" w:rsidRDefault="009C2462" w:rsidP="00171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60">
        <w:rPr>
          <w:sz w:val="28"/>
          <w:szCs w:val="28"/>
        </w:rPr>
        <w:t>4.</w:t>
      </w:r>
      <w:r w:rsidR="001712D6">
        <w:rPr>
          <w:color w:val="000000"/>
          <w:spacing w:val="2"/>
          <w:sz w:val="28"/>
          <w:szCs w:val="28"/>
        </w:rPr>
        <w:t xml:space="preserve"> Контроль   </w:t>
      </w:r>
      <w:r w:rsidRPr="00E60F60">
        <w:rPr>
          <w:color w:val="000000"/>
          <w:spacing w:val="2"/>
          <w:sz w:val="28"/>
          <w:szCs w:val="28"/>
        </w:rPr>
        <w:t>исполнени</w:t>
      </w:r>
      <w:r w:rsidR="001712D6">
        <w:rPr>
          <w:color w:val="000000"/>
          <w:spacing w:val="2"/>
          <w:sz w:val="28"/>
          <w:szCs w:val="28"/>
        </w:rPr>
        <w:t>я</w:t>
      </w:r>
      <w:r w:rsidRPr="00E60F60">
        <w:rPr>
          <w:color w:val="000000"/>
          <w:spacing w:val="2"/>
          <w:sz w:val="28"/>
          <w:szCs w:val="28"/>
        </w:rPr>
        <w:t xml:space="preserve">   настоящего   решения    возложить   на </w:t>
      </w:r>
      <w:r w:rsidRPr="00E60F60">
        <w:rPr>
          <w:color w:val="000000"/>
          <w:spacing w:val="1"/>
          <w:sz w:val="28"/>
          <w:szCs w:val="28"/>
        </w:rPr>
        <w:t>постоянную    комиссию   </w:t>
      </w:r>
      <w:r w:rsidR="00E539DE" w:rsidRPr="00467BAB">
        <w:rPr>
          <w:color w:val="000000"/>
          <w:sz w:val="28"/>
          <w:szCs w:val="28"/>
        </w:rPr>
        <w:t>по социально-гуманитарным вопросам, правопорядку, спорту и туризму</w:t>
      </w:r>
      <w:r w:rsidR="00E539DE" w:rsidRPr="00467BAB">
        <w:rPr>
          <w:color w:val="000000"/>
          <w:spacing w:val="1"/>
          <w:sz w:val="28"/>
          <w:szCs w:val="28"/>
        </w:rPr>
        <w:t xml:space="preserve"> Совета  сельского  поселения </w:t>
      </w:r>
      <w:r w:rsidR="00E539DE" w:rsidRPr="00467BAB">
        <w:rPr>
          <w:sz w:val="28"/>
          <w:szCs w:val="28"/>
        </w:rPr>
        <w:t xml:space="preserve">Салаватский </w:t>
      </w:r>
      <w:r w:rsidR="00E539DE" w:rsidRPr="00467BAB">
        <w:rPr>
          <w:color w:val="000000"/>
          <w:spacing w:val="1"/>
          <w:sz w:val="28"/>
          <w:szCs w:val="28"/>
        </w:rPr>
        <w:t>сельсовет  муниципального  района  Салаватский  район  Республики  Башкортостан.</w:t>
      </w:r>
      <w:r w:rsidR="00E539DE" w:rsidRPr="00467BAB">
        <w:rPr>
          <w:sz w:val="28"/>
          <w:szCs w:val="28"/>
        </w:rPr>
        <w:t> </w:t>
      </w:r>
    </w:p>
    <w:p w:rsidR="007847D7" w:rsidRPr="00226147" w:rsidRDefault="007847D7" w:rsidP="00171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2D6" w:rsidRDefault="001712D6" w:rsidP="001712D6">
      <w:pPr>
        <w:ind w:firstLine="709"/>
        <w:rPr>
          <w:sz w:val="28"/>
          <w:szCs w:val="28"/>
        </w:rPr>
      </w:pPr>
    </w:p>
    <w:p w:rsidR="001C2F83" w:rsidRDefault="001C2F83" w:rsidP="001712D6">
      <w:pPr>
        <w:ind w:firstLine="709"/>
        <w:rPr>
          <w:sz w:val="28"/>
          <w:szCs w:val="28"/>
        </w:rPr>
      </w:pPr>
    </w:p>
    <w:p w:rsidR="001C2F83" w:rsidRDefault="006B4DF8" w:rsidP="001C2F8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C2F83">
        <w:rPr>
          <w:sz w:val="28"/>
          <w:szCs w:val="28"/>
        </w:rPr>
        <w:t xml:space="preserve"> </w:t>
      </w:r>
    </w:p>
    <w:p w:rsidR="001C2F83" w:rsidRDefault="001C2F83" w:rsidP="001C2F83">
      <w:pPr>
        <w:rPr>
          <w:sz w:val="28"/>
          <w:szCs w:val="28"/>
        </w:rPr>
      </w:pPr>
      <w:r>
        <w:rPr>
          <w:sz w:val="28"/>
          <w:szCs w:val="28"/>
        </w:rPr>
        <w:t xml:space="preserve">Салаватский сельсовет </w:t>
      </w:r>
    </w:p>
    <w:p w:rsidR="001C2F83" w:rsidRDefault="001C2F83" w:rsidP="001C2F8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C2F83" w:rsidRDefault="001C2F83" w:rsidP="001C2F83">
      <w:pPr>
        <w:rPr>
          <w:sz w:val="28"/>
          <w:szCs w:val="28"/>
        </w:rPr>
      </w:pPr>
      <w:r>
        <w:rPr>
          <w:sz w:val="28"/>
          <w:szCs w:val="28"/>
        </w:rPr>
        <w:t>Салаватский</w:t>
      </w:r>
      <w:r>
        <w:rPr>
          <w:sz w:val="28"/>
          <w:szCs w:val="28"/>
        </w:rPr>
        <w:tab/>
        <w:t xml:space="preserve"> район </w:t>
      </w:r>
    </w:p>
    <w:p w:rsidR="004E64C0" w:rsidRPr="00416E19" w:rsidRDefault="001C2F83" w:rsidP="001C2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Республики Башкортостан</w:t>
      </w:r>
      <w:r w:rsidR="006B4DF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B4DF8">
        <w:rPr>
          <w:sz w:val="28"/>
          <w:szCs w:val="28"/>
        </w:rPr>
        <w:t xml:space="preserve">                       Р.А. Уральская</w:t>
      </w:r>
    </w:p>
    <w:sectPr w:rsidR="004E64C0" w:rsidRPr="00416E19" w:rsidSect="001C2F83">
      <w:headerReference w:type="default" r:id="rId15"/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24" w:rsidRDefault="00EE0024" w:rsidP="005C5D45">
      <w:r>
        <w:separator/>
      </w:r>
    </w:p>
  </w:endnote>
  <w:endnote w:type="continuationSeparator" w:id="0">
    <w:p w:rsidR="00EE0024" w:rsidRDefault="00EE0024" w:rsidP="005C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24" w:rsidRDefault="00EE0024" w:rsidP="005C5D45">
      <w:r>
        <w:separator/>
      </w:r>
    </w:p>
  </w:footnote>
  <w:footnote w:type="continuationSeparator" w:id="0">
    <w:p w:rsidR="00EE0024" w:rsidRDefault="00EE0024" w:rsidP="005C5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9C2462" w:rsidRDefault="009C2462">
        <w:pPr>
          <w:pStyle w:val="a8"/>
          <w:jc w:val="center"/>
        </w:pPr>
      </w:p>
      <w:p w:rsidR="009C2462" w:rsidRDefault="004B1B16">
        <w:pPr>
          <w:pStyle w:val="a8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5E1"/>
    <w:multiLevelType w:val="hybridMultilevel"/>
    <w:tmpl w:val="0C080CF8"/>
    <w:lvl w:ilvl="0" w:tplc="9CB66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20BE"/>
    <w:multiLevelType w:val="hybridMultilevel"/>
    <w:tmpl w:val="7266290C"/>
    <w:lvl w:ilvl="0" w:tplc="860E3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E0D1CDA"/>
    <w:multiLevelType w:val="hybridMultilevel"/>
    <w:tmpl w:val="35FC52DA"/>
    <w:lvl w:ilvl="0" w:tplc="860E3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52"/>
    <w:rsid w:val="00002465"/>
    <w:rsid w:val="000418B9"/>
    <w:rsid w:val="00050E61"/>
    <w:rsid w:val="00051769"/>
    <w:rsid w:val="00060D6B"/>
    <w:rsid w:val="0006588C"/>
    <w:rsid w:val="00070280"/>
    <w:rsid w:val="00070851"/>
    <w:rsid w:val="000753C9"/>
    <w:rsid w:val="000914D1"/>
    <w:rsid w:val="00097F68"/>
    <w:rsid w:val="000C1911"/>
    <w:rsid w:val="000D2063"/>
    <w:rsid w:val="000E0769"/>
    <w:rsid w:val="001176A8"/>
    <w:rsid w:val="00121695"/>
    <w:rsid w:val="001426E9"/>
    <w:rsid w:val="001712D6"/>
    <w:rsid w:val="00173924"/>
    <w:rsid w:val="00177226"/>
    <w:rsid w:val="0019183C"/>
    <w:rsid w:val="001929D8"/>
    <w:rsid w:val="001A563E"/>
    <w:rsid w:val="001C16DF"/>
    <w:rsid w:val="001C2F83"/>
    <w:rsid w:val="001C6327"/>
    <w:rsid w:val="001C7D11"/>
    <w:rsid w:val="001E386A"/>
    <w:rsid w:val="001F1186"/>
    <w:rsid w:val="001F3C52"/>
    <w:rsid w:val="00226147"/>
    <w:rsid w:val="00227725"/>
    <w:rsid w:val="002659DF"/>
    <w:rsid w:val="00276FB3"/>
    <w:rsid w:val="00290BCD"/>
    <w:rsid w:val="002B2BBC"/>
    <w:rsid w:val="002C7E80"/>
    <w:rsid w:val="002E6F57"/>
    <w:rsid w:val="00306A4E"/>
    <w:rsid w:val="00343405"/>
    <w:rsid w:val="00364112"/>
    <w:rsid w:val="003815F9"/>
    <w:rsid w:val="00393EC7"/>
    <w:rsid w:val="00396DA1"/>
    <w:rsid w:val="003A3444"/>
    <w:rsid w:val="003B05AE"/>
    <w:rsid w:val="003B4C05"/>
    <w:rsid w:val="003C1FFA"/>
    <w:rsid w:val="003C7A94"/>
    <w:rsid w:val="003E5C1C"/>
    <w:rsid w:val="003E6A14"/>
    <w:rsid w:val="0040371F"/>
    <w:rsid w:val="00416E19"/>
    <w:rsid w:val="004348BB"/>
    <w:rsid w:val="00440D44"/>
    <w:rsid w:val="00442A63"/>
    <w:rsid w:val="00451469"/>
    <w:rsid w:val="004570F4"/>
    <w:rsid w:val="004659DA"/>
    <w:rsid w:val="0047297B"/>
    <w:rsid w:val="004838B0"/>
    <w:rsid w:val="00483ED6"/>
    <w:rsid w:val="00495A8A"/>
    <w:rsid w:val="004A1F07"/>
    <w:rsid w:val="004B1B16"/>
    <w:rsid w:val="004E64C0"/>
    <w:rsid w:val="004F0CE7"/>
    <w:rsid w:val="00500230"/>
    <w:rsid w:val="005013F9"/>
    <w:rsid w:val="00535A4F"/>
    <w:rsid w:val="0055306E"/>
    <w:rsid w:val="00564475"/>
    <w:rsid w:val="00571230"/>
    <w:rsid w:val="005764E3"/>
    <w:rsid w:val="005860CA"/>
    <w:rsid w:val="00587FCE"/>
    <w:rsid w:val="00590FDE"/>
    <w:rsid w:val="00597BFF"/>
    <w:rsid w:val="005A36B5"/>
    <w:rsid w:val="005C15A7"/>
    <w:rsid w:val="005C5D45"/>
    <w:rsid w:val="005E533A"/>
    <w:rsid w:val="005E7503"/>
    <w:rsid w:val="005F6288"/>
    <w:rsid w:val="00605D98"/>
    <w:rsid w:val="0061710E"/>
    <w:rsid w:val="006175DD"/>
    <w:rsid w:val="00633B46"/>
    <w:rsid w:val="00645AFB"/>
    <w:rsid w:val="006460BF"/>
    <w:rsid w:val="006542F3"/>
    <w:rsid w:val="006735F4"/>
    <w:rsid w:val="006817DA"/>
    <w:rsid w:val="006906C5"/>
    <w:rsid w:val="0069223F"/>
    <w:rsid w:val="006935C7"/>
    <w:rsid w:val="00694A94"/>
    <w:rsid w:val="006B1D75"/>
    <w:rsid w:val="006B4DEE"/>
    <w:rsid w:val="006B4DF8"/>
    <w:rsid w:val="00712716"/>
    <w:rsid w:val="0074195E"/>
    <w:rsid w:val="007470B9"/>
    <w:rsid w:val="00780F37"/>
    <w:rsid w:val="0078183E"/>
    <w:rsid w:val="007847D7"/>
    <w:rsid w:val="007A20C8"/>
    <w:rsid w:val="007A5161"/>
    <w:rsid w:val="007D258D"/>
    <w:rsid w:val="007E10CF"/>
    <w:rsid w:val="00803836"/>
    <w:rsid w:val="008042B4"/>
    <w:rsid w:val="00806257"/>
    <w:rsid w:val="00812ECE"/>
    <w:rsid w:val="008137A7"/>
    <w:rsid w:val="00825210"/>
    <w:rsid w:val="00835296"/>
    <w:rsid w:val="00840043"/>
    <w:rsid w:val="008406A0"/>
    <w:rsid w:val="00854E06"/>
    <w:rsid w:val="00866ED9"/>
    <w:rsid w:val="00897CC0"/>
    <w:rsid w:val="008A21E3"/>
    <w:rsid w:val="008A2CBC"/>
    <w:rsid w:val="008A2E42"/>
    <w:rsid w:val="008A3046"/>
    <w:rsid w:val="008A7ABB"/>
    <w:rsid w:val="008B2CBA"/>
    <w:rsid w:val="00917C09"/>
    <w:rsid w:val="00922B53"/>
    <w:rsid w:val="00931DE8"/>
    <w:rsid w:val="00943BDA"/>
    <w:rsid w:val="009575C0"/>
    <w:rsid w:val="00971EEB"/>
    <w:rsid w:val="00980BFC"/>
    <w:rsid w:val="00982A5B"/>
    <w:rsid w:val="00983AF3"/>
    <w:rsid w:val="009909BA"/>
    <w:rsid w:val="009B5DF1"/>
    <w:rsid w:val="009B7916"/>
    <w:rsid w:val="009C2462"/>
    <w:rsid w:val="009F309D"/>
    <w:rsid w:val="00A05CE8"/>
    <w:rsid w:val="00A17CB3"/>
    <w:rsid w:val="00A309F4"/>
    <w:rsid w:val="00A4585C"/>
    <w:rsid w:val="00A67B90"/>
    <w:rsid w:val="00A97358"/>
    <w:rsid w:val="00AB7FA9"/>
    <w:rsid w:val="00AC0D3B"/>
    <w:rsid w:val="00AD3D75"/>
    <w:rsid w:val="00AD7A18"/>
    <w:rsid w:val="00AD7C09"/>
    <w:rsid w:val="00AE17FC"/>
    <w:rsid w:val="00AF2AA9"/>
    <w:rsid w:val="00AF39EE"/>
    <w:rsid w:val="00B0693A"/>
    <w:rsid w:val="00B22E8C"/>
    <w:rsid w:val="00B25524"/>
    <w:rsid w:val="00B34454"/>
    <w:rsid w:val="00B36C86"/>
    <w:rsid w:val="00B444F9"/>
    <w:rsid w:val="00B652A8"/>
    <w:rsid w:val="00B831A6"/>
    <w:rsid w:val="00B942FC"/>
    <w:rsid w:val="00BA4444"/>
    <w:rsid w:val="00BA4A5E"/>
    <w:rsid w:val="00BA5CFD"/>
    <w:rsid w:val="00BA6323"/>
    <w:rsid w:val="00BB488F"/>
    <w:rsid w:val="00BB77EC"/>
    <w:rsid w:val="00BC3C96"/>
    <w:rsid w:val="00BC7D29"/>
    <w:rsid w:val="00BD0824"/>
    <w:rsid w:val="00C04519"/>
    <w:rsid w:val="00C10F88"/>
    <w:rsid w:val="00C146D9"/>
    <w:rsid w:val="00C203C4"/>
    <w:rsid w:val="00C470B3"/>
    <w:rsid w:val="00C900C2"/>
    <w:rsid w:val="00CA7013"/>
    <w:rsid w:val="00CB607B"/>
    <w:rsid w:val="00CC73B5"/>
    <w:rsid w:val="00CE0BCF"/>
    <w:rsid w:val="00CF4865"/>
    <w:rsid w:val="00D00D92"/>
    <w:rsid w:val="00D017AF"/>
    <w:rsid w:val="00D03D61"/>
    <w:rsid w:val="00D1321F"/>
    <w:rsid w:val="00D148D0"/>
    <w:rsid w:val="00D4456B"/>
    <w:rsid w:val="00D628EA"/>
    <w:rsid w:val="00D844A0"/>
    <w:rsid w:val="00D944AB"/>
    <w:rsid w:val="00DA25BF"/>
    <w:rsid w:val="00DA7F09"/>
    <w:rsid w:val="00DB7BE8"/>
    <w:rsid w:val="00DC26DE"/>
    <w:rsid w:val="00DC31D3"/>
    <w:rsid w:val="00E03C7B"/>
    <w:rsid w:val="00E31009"/>
    <w:rsid w:val="00E31878"/>
    <w:rsid w:val="00E3303E"/>
    <w:rsid w:val="00E41A88"/>
    <w:rsid w:val="00E539DE"/>
    <w:rsid w:val="00E54DC1"/>
    <w:rsid w:val="00E55990"/>
    <w:rsid w:val="00E636BE"/>
    <w:rsid w:val="00E65A0E"/>
    <w:rsid w:val="00E8582C"/>
    <w:rsid w:val="00E9499B"/>
    <w:rsid w:val="00EB14C8"/>
    <w:rsid w:val="00EC1AEE"/>
    <w:rsid w:val="00EE0024"/>
    <w:rsid w:val="00EF5A02"/>
    <w:rsid w:val="00EF5CE8"/>
    <w:rsid w:val="00F452E1"/>
    <w:rsid w:val="00F62C53"/>
    <w:rsid w:val="00F65AD0"/>
    <w:rsid w:val="00FB04DB"/>
    <w:rsid w:val="00FC6B4C"/>
    <w:rsid w:val="00FC7150"/>
    <w:rsid w:val="00FE0DF4"/>
    <w:rsid w:val="00FE3EA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character" w:styleId="a4">
    <w:name w:val="Strong"/>
    <w:basedOn w:val="a0"/>
    <w:uiPriority w:val="22"/>
    <w:qFormat/>
    <w:rsid w:val="00E55990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uiPriority w:val="99"/>
    <w:rsid w:val="005C5D4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5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5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B4DF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4D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C246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9C2462"/>
    <w:pPr>
      <w:spacing w:after="0" w:line="240" w:lineRule="auto"/>
    </w:pPr>
  </w:style>
  <w:style w:type="character" w:styleId="af">
    <w:name w:val="Emphasis"/>
    <w:basedOn w:val="a0"/>
    <w:qFormat/>
    <w:rsid w:val="009C2462"/>
    <w:rPr>
      <w:i/>
      <w:iCs/>
    </w:rPr>
  </w:style>
  <w:style w:type="paragraph" w:styleId="af0">
    <w:name w:val="Normal (Web)"/>
    <w:basedOn w:val="a"/>
    <w:rsid w:val="009C2462"/>
    <w:pPr>
      <w:spacing w:before="100" w:beforeAutospacing="1" w:after="100" w:afterAutospacing="1"/>
    </w:pPr>
  </w:style>
  <w:style w:type="character" w:styleId="af1">
    <w:name w:val="Hyperlink"/>
    <w:uiPriority w:val="99"/>
    <w:rsid w:val="009C2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character" w:styleId="a4">
    <w:name w:val="Strong"/>
    <w:basedOn w:val="a0"/>
    <w:uiPriority w:val="22"/>
    <w:qFormat/>
    <w:rsid w:val="00E55990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uiPriority w:val="99"/>
    <w:rsid w:val="005C5D4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5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5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2018-12-03T06:39:00Z</cp:lastPrinted>
  <dcterms:created xsi:type="dcterms:W3CDTF">2018-11-28T06:57:00Z</dcterms:created>
  <dcterms:modified xsi:type="dcterms:W3CDTF">2018-12-03T07:24:00Z</dcterms:modified>
</cp:coreProperties>
</file>